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685024" w:rsidTr="007B604D">
        <w:tc>
          <w:tcPr>
            <w:tcW w:w="10428" w:type="dxa"/>
            <w:vAlign w:val="bottom"/>
          </w:tcPr>
          <w:bookmarkStart w:id="0" w:name="_GoBack"/>
          <w:bookmarkEnd w:id="0"/>
          <w:p w:rsidR="00685024" w:rsidRPr="00797031" w:rsidRDefault="002C7FD9" w:rsidP="007B604D">
            <w:r>
              <w:fldChar w:fldCharType="begin"/>
            </w:r>
            <w:r>
              <w:instrText xml:space="preserve"> HYPERLINK "http://quality-management.magt.biz" </w:instrText>
            </w:r>
            <w:r>
              <w:fldChar w:fldCharType="separate"/>
            </w:r>
            <w:r w:rsidR="00685024" w:rsidRPr="006A0EAC">
              <w:rPr>
                <w:rStyle w:val="Hyperlink"/>
                <w:rFonts w:eastAsiaTheme="minorHAnsi"/>
              </w:rPr>
              <w:t>http://quality-management.magt.biz</w:t>
            </w:r>
            <w:r>
              <w:rPr>
                <w:rStyle w:val="Hyperlink"/>
                <w:rFonts w:eastAsiaTheme="minorHAnsi"/>
              </w:rPr>
              <w:fldChar w:fldCharType="end"/>
            </w:r>
          </w:p>
        </w:tc>
        <w:tc>
          <w:tcPr>
            <w:tcW w:w="5493" w:type="dxa"/>
          </w:tcPr>
          <w:p w:rsidR="00685024" w:rsidRPr="00B60F19" w:rsidRDefault="00685024" w:rsidP="007B604D"/>
          <w:sdt>
            <w:sdtPr>
              <w:alias w:val="Publish Date"/>
              <w:tag w:val="Publish Date"/>
              <w:id w:val="793720647"/>
              <w:dataBinding w:prefixMappings="xmlns:ns0='http://schemas.microsoft.com/office/2006/coverPageProps' " w:xpath="/ns0:CoverPageProperties[1]/ns0:PublishDate[1]" w:storeItemID="{55AF091B-3C7A-41E3-B477-F2FDAA23CFDA}"/>
              <w:date w:fullDate="2015-01-25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85024" w:rsidRPr="001E7B7D" w:rsidRDefault="00685024" w:rsidP="007B604D">
                <w:pPr>
                  <w:jc w:val="right"/>
                </w:pPr>
                <w:r>
                  <w:t>Sunday, January 25, 2015</w:t>
                </w:r>
              </w:p>
            </w:sdtContent>
          </w:sdt>
        </w:tc>
      </w:tr>
    </w:tbl>
    <w:p w:rsidR="00A55B7D" w:rsidRDefault="002C7FD9" w:rsidP="001455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7.95pt;width:324pt;height:176.25pt;z-index:251662336;visibility:visible;mso-wrap-distance-top:3.6pt;mso-wrap-distance-bottom:3.6pt;mso-position-horizontal-relative:text;mso-position-vertical-relative:text;mso-width-relative:margin;mso-height-relative:margin" fillcolor="#7030a0">
            <v:fill opacity=".5" color2="fill lighten(51)" o:opacity2="0" angle="-135" focusposition=".5,.5" focussize="" method="linear sigma" focus="100%" type="gradient"/>
            <v:stroke opacity=".75"/>
            <v:textbox style="mso-next-textbox:#_x0000_s1045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680"/>
                  </w:tblGrid>
                  <w:tr w:rsidR="002E58A1" w:rsidRPr="002E58A1" w:rsidTr="001A6D5A">
                    <w:tc>
                      <w:tcPr>
                        <w:tcW w:w="6120" w:type="dxa"/>
                        <w:gridSpan w:val="2"/>
                        <w:shd w:val="clear" w:color="auto" w:fill="auto"/>
                      </w:tcPr>
                      <w:p w:rsidR="002E58A1" w:rsidRPr="00355643" w:rsidRDefault="002E58A1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Justification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rPr>
                            <w:lang w:val="en-AU" w:eastAsia="nl-NL"/>
                          </w:rPr>
                          <w:t>This Procedure is written because: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Of the lengthiness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53C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Of the complexity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D55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The process is routine, but it's essential that everyone strictly follows the rules.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demands consistency.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documentation.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significant change.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has serious consequences if done wrong.</w:t>
                        </w:r>
                      </w:p>
                    </w:tc>
                  </w:tr>
                </w:tbl>
                <w:p w:rsidR="002E58A1" w:rsidRPr="002E58A1" w:rsidRDefault="002E58A1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4" type="#_x0000_t202" style="position:absolute;margin-left:462pt;margin-top:7.95pt;width:324pt;height:125.8pt;z-index:251661312;visibility:visible;mso-wrap-distance-top:3.6pt;mso-wrap-distance-bottom:3.6pt;mso-position-horizontal-relative:text;mso-position-vertical-relative:text;mso-width-relative:margin;mso-height-relative:margin" fillcolor="#4f81bd [3204]">
            <v:fill opacity=".5" color2="fill lighten(51)" o:opacity2="0" angle="-135" focusposition=".5,.5" focussize="" method="linear sigma" focus="100%" type="gradient"/>
            <v:stroke opacity=".75"/>
            <v:textbox style="mso-next-textbox:#Text Box 2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560"/>
                  </w:tblGrid>
                  <w:tr w:rsidR="00B961B2" w:rsidRPr="002E58A1" w:rsidTr="00823D6E">
                    <w:tc>
                      <w:tcPr>
                        <w:tcW w:w="6000" w:type="dxa"/>
                        <w:gridSpan w:val="2"/>
                        <w:shd w:val="clear" w:color="auto" w:fill="auto"/>
                      </w:tcPr>
                      <w:p w:rsidR="00B961B2" w:rsidRPr="00355643" w:rsidRDefault="0035564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>
                          <w:rPr>
                            <w:b/>
                          </w:rPr>
                          <w:t>Organization</w:t>
                        </w:r>
                        <w:r w:rsidR="00B961B2" w:rsidRPr="00355643">
                          <w:rPr>
                            <w:b/>
                          </w:rPr>
                          <w:t xml:space="preserve"> Details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representative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Address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7D55FE" w:rsidRPr="007D55FE" w:rsidRDefault="007D55FE" w:rsidP="007D55FE">
                        <w:pPr>
                          <w:pStyle w:val="BodyText"/>
                          <w:ind w:left="0"/>
                          <w:rPr>
                            <w:lang w:val="en-AU" w:eastAsia="nl-NL"/>
                          </w:rPr>
                        </w:pPr>
                      </w:p>
                    </w:tc>
                  </w:tr>
                </w:tbl>
                <w:p w:rsidR="00635B7A" w:rsidRPr="002E58A1" w:rsidRDefault="00635B7A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bookmarkStart w:id="1" w:name="_Toc398038431"/>
      <w:bookmarkStart w:id="2" w:name="_Toc371955887"/>
    </w:p>
    <w:bookmarkEnd w:id="1"/>
    <w:p w:rsidR="00A55B7D" w:rsidRDefault="00A55B7D" w:rsidP="0014553B"/>
    <w:p w:rsidR="00A55B7D" w:rsidRDefault="00A55B7D" w:rsidP="0014553B"/>
    <w:p w:rsidR="002E58A1" w:rsidRPr="00A55B7D" w:rsidRDefault="002E58A1" w:rsidP="0014553B"/>
    <w:bookmarkEnd w:id="2"/>
    <w:p w:rsidR="00A55B7D" w:rsidRDefault="00A55B7D" w:rsidP="0014553B"/>
    <w:p w:rsidR="00A55B7D" w:rsidRDefault="00A55B7D" w:rsidP="0014553B"/>
    <w:p w:rsidR="00A55B7D" w:rsidRDefault="00A55B7D" w:rsidP="0014553B"/>
    <w:p w:rsidR="00B27588" w:rsidRDefault="002C7FD9" w:rsidP="0014553B">
      <w:r>
        <w:rPr>
          <w:noProof/>
        </w:rPr>
        <w:pict>
          <v:shape id="_x0000_s1054" type="#_x0000_t202" style="position:absolute;margin-left:-333.9pt;margin-top:536.3pt;width:324pt;height:90pt;z-index:251668480;visibility:visible;mso-wrap-distance-top:3.6pt;mso-wrap-distance-bottom:3.6pt;mso-width-relative:margin;mso-height-relative:margin" fillcolor="#f93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5B4493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5B4493" w:rsidRPr="00355643" w:rsidRDefault="005B449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Responsibilities</w:t>
                        </w:r>
                      </w:p>
                    </w:tc>
                  </w:tr>
                  <w:tr w:rsidR="005B4493" w:rsidRPr="0014553B" w:rsidTr="001A6D5A">
                    <w:trPr>
                      <w:trHeight w:val="10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3217CC" w:rsidRDefault="003217CC" w:rsidP="003217CC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All employees are responsible to bring suspected non-conformances to the attention of the quality department.</w:t>
                        </w:r>
                      </w:p>
                      <w:p w:rsidR="005B4493" w:rsidRPr="0014553B" w:rsidRDefault="003217CC" w:rsidP="003217CC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QA/QC manager or his designee documents the non-conformity and notifies concerned parties.</w:t>
                        </w:r>
                      </w:p>
                    </w:tc>
                  </w:tr>
                </w:tbl>
                <w:p w:rsidR="005B4493" w:rsidRPr="0014553B" w:rsidRDefault="005B4493" w:rsidP="0014553B"/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-333.9pt;margin-top:437.3pt;width:324pt;height:81pt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Process</w:t>
                        </w:r>
                      </w:p>
                    </w:tc>
                  </w:tr>
                  <w:tr w:rsidR="0014553B" w:rsidRPr="0014553B" w:rsidTr="00EF0635">
                    <w:trPr>
                      <w:trHeight w:val="81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EF0635" w:rsidRDefault="00EF0635" w:rsidP="00EF0635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Identify non-conformities,</w:t>
                        </w:r>
                      </w:p>
                      <w:p w:rsidR="003217CC" w:rsidRDefault="003217CC" w:rsidP="00EF0635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Evaluate suspected non-conformity,</w:t>
                        </w:r>
                      </w:p>
                      <w:p w:rsidR="00EF0635" w:rsidRDefault="00EF0635" w:rsidP="00EF0635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Document/register the non-conformity,</w:t>
                        </w:r>
                      </w:p>
                      <w:p w:rsidR="0091281C" w:rsidRPr="0014553B" w:rsidRDefault="00EF0635" w:rsidP="00EF0635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Notify all concerned parties.</w:t>
                        </w:r>
                      </w:p>
                    </w:tc>
                  </w:tr>
                </w:tbl>
                <w:p w:rsidR="0091281C" w:rsidRPr="0014553B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333.9pt;margin-top:338.95pt;width:324pt;height:80.35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Output(s)</w:t>
                        </w:r>
                      </w:p>
                    </w:tc>
                  </w:tr>
                  <w:tr w:rsidR="0091281C" w:rsidRPr="002E58A1" w:rsidTr="00944160">
                    <w:trPr>
                      <w:trHeight w:val="64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02281F" w:rsidRDefault="0091281C" w:rsidP="0014553B">
                        <w:pPr>
                          <w:rPr>
                            <w:lang w:val="en-AU" w:eastAsia="nl-NL"/>
                          </w:rPr>
                        </w:pPr>
                        <w:r w:rsidRPr="0002281F">
                          <w:rPr>
                            <w:lang w:val="en-AU" w:eastAsia="nl-NL"/>
                          </w:rPr>
                          <w:t xml:space="preserve">Outputs of </w:t>
                        </w:r>
                        <w:r w:rsidR="003F1140">
                          <w:rPr>
                            <w:lang w:val="en-AU" w:eastAsia="nl-NL"/>
                          </w:rPr>
                          <w:t>this procedure</w:t>
                        </w:r>
                        <w:r w:rsidRPr="0002281F">
                          <w:rPr>
                            <w:lang w:val="en-AU" w:eastAsia="nl-NL"/>
                          </w:rPr>
                          <w:t xml:space="preserve"> are:</w:t>
                        </w:r>
                      </w:p>
                      <w:p w:rsidR="009A246A" w:rsidRDefault="009A246A" w:rsidP="00EF063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Updated NCR Register,</w:t>
                        </w:r>
                      </w:p>
                      <w:p w:rsidR="003F1140" w:rsidRPr="00EF0635" w:rsidRDefault="00EF0635" w:rsidP="00EF063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Non-Conformance Report,</w:t>
                        </w:r>
                      </w:p>
                    </w:tc>
                  </w:tr>
                </w:tbl>
                <w:p w:rsidR="0091281C" w:rsidRPr="002E58A1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333.75pt;margin-top:230.95pt;width:324pt;height:90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A367B6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55643" w:rsidRDefault="00A367B6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Input(s)</w:t>
                        </w:r>
                      </w:p>
                    </w:tc>
                  </w:tr>
                  <w:tr w:rsidR="00A367B6" w:rsidRPr="002E58A1" w:rsidTr="001A6D5A">
                    <w:trPr>
                      <w:trHeight w:val="623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F1140" w:rsidRDefault="00A367B6" w:rsidP="0014553B">
                        <w:r w:rsidRPr="003F1140">
                          <w:rPr>
                            <w:lang w:val="en-AU" w:eastAsia="nl-NL"/>
                          </w:rPr>
                          <w:t xml:space="preserve">Common inputs to </w:t>
                        </w:r>
                        <w:r w:rsidR="005B3A21" w:rsidRPr="003F1140">
                          <w:rPr>
                            <w:lang w:val="en-AU" w:eastAsia="nl-NL"/>
                          </w:rPr>
                          <w:t>this procedure are</w:t>
                        </w:r>
                        <w:r w:rsidRPr="003F1140">
                          <w:t>,</w:t>
                        </w:r>
                      </w:p>
                      <w:p w:rsidR="007D55FE" w:rsidRDefault="007D55FE" w:rsidP="007D55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Established processes and procedure documentation,</w:t>
                        </w:r>
                      </w:p>
                      <w:p w:rsidR="007D55FE" w:rsidRDefault="007D55FE" w:rsidP="007D55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Specifications,</w:t>
                        </w:r>
                      </w:p>
                      <w:p w:rsidR="003F1140" w:rsidRPr="003F1140" w:rsidRDefault="007D55FE" w:rsidP="007D55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Management Plans.</w:t>
                        </w:r>
                      </w:p>
                    </w:tc>
                  </w:tr>
                </w:tbl>
                <w:p w:rsidR="00A367B6" w:rsidRPr="002E58A1" w:rsidRDefault="00A367B6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-333.75pt;margin-top:104.3pt;width:324pt;height:109.9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DC2439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DC2439" w:rsidRPr="00355643" w:rsidRDefault="00DC2439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Purpose and Scope</w:t>
                        </w:r>
                      </w:p>
                    </w:tc>
                  </w:tr>
                  <w:tr w:rsidR="00A367B6" w:rsidRPr="005B3A21" w:rsidTr="00753CFE">
                    <w:trPr>
                      <w:trHeight w:val="796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ED5973" w:rsidRPr="007D55FE" w:rsidRDefault="007D55FE" w:rsidP="007D55FE">
                        <w:pPr>
                          <w:rPr>
                            <w:rFonts w:asciiTheme="minorHAnsi" w:hAnsiTheme="minorHAnsi"/>
                          </w:rPr>
                        </w:pPr>
                        <w:r w:rsidRPr="007D55FE">
                          <w:rPr>
                            <w:rFonts w:asciiTheme="minorHAnsi" w:hAnsiTheme="minorHAnsi"/>
                          </w:rPr>
                          <w:t>The purpose of this procedure is to define CCS system for the control of nonconforming product or work methodology.</w:t>
                        </w:r>
                      </w:p>
                      <w:p w:rsidR="007D55FE" w:rsidRPr="007D55FE" w:rsidRDefault="007D55FE" w:rsidP="007D55FE">
                        <w:pPr>
                          <w:pStyle w:val="BodyText"/>
                          <w:ind w:left="0"/>
                        </w:pPr>
                        <w:r w:rsidRPr="007D55FE">
                          <w:rPr>
                            <w:rFonts w:asciiTheme="minorHAnsi" w:hAnsiTheme="minorHAnsi"/>
                          </w:rPr>
                          <w:t>The scope of the non-conformance procedure is to detect any inadvertent use of nonconforming materials, products or sub-products, equipment and work methodologies and to provide proper nonconformance notification to the concerned party as applicable.</w:t>
                        </w:r>
                      </w:p>
                    </w:tc>
                  </w:tr>
                </w:tbl>
                <w:p w:rsidR="00DC2439" w:rsidRPr="005B3A21" w:rsidRDefault="00DC2439" w:rsidP="0014553B"/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116.1pt;margin-top:356.3pt;width:12pt;height:18pt;flip:x;z-index:251819008" o:connectortype="straight" strokeweight="1.5pt"/>
        </w:pict>
      </w:r>
      <w:r>
        <w:rPr>
          <w:noProof/>
        </w:rPr>
        <w:pict>
          <v:shape id="_x0000_s1201" type="#_x0000_t32" style="position:absolute;margin-left:193.85pt;margin-top:491.3pt;width:201.55pt;height:0;z-index:251816960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margin-left:146.1pt;margin-top:333.15pt;width:72.15pt;height:0;z-index:251806720" o:connectortype="straight">
            <v:stroke endarrow="block"/>
          </v:shape>
        </w:pict>
      </w:r>
      <w:r>
        <w:rPr>
          <w:noProof/>
        </w:rPr>
        <w:pict>
          <v:rect id="_x0000_s1177" style="position:absolute;margin-left:49.85pt;margin-top:464.3pt;width:2in;height:54pt;z-index:251795456;v-text-anchor:middle" fillcolor="#eeece1 [3214]">
            <v:fill color2="fill darken(194)" rotate="t" focusposition=".5,.5" focussize="" method="linear sigma" focus="100%" type="gradientRadial"/>
            <v:textbox style="mso-next-textbox:#_x0000_s1177" inset="0,0,0,0">
              <w:txbxContent>
                <w:p w:rsidR="0003537C" w:rsidRDefault="0003537C" w:rsidP="003217CC">
                  <w:pPr>
                    <w:jc w:val="center"/>
                  </w:pPr>
                  <w:r>
                    <w:t>4.0 Notify concerned parties (NCR)</w:t>
                  </w:r>
                </w:p>
                <w:p w:rsidR="0003537C" w:rsidRPr="006A31DD" w:rsidRDefault="0003537C" w:rsidP="003217CC">
                  <w:pPr>
                    <w:jc w:val="center"/>
                  </w:pPr>
                  <w:r>
                    <w:t>(Quality Manager)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8" type="#_x0000_t32" style="position:absolute;margin-left:122.45pt;margin-top:437.3pt;width:.2pt;height:27pt;z-index:251796480" o:connectortype="straight">
            <v:stroke endarrow="block"/>
          </v:shape>
        </w:pict>
      </w:r>
      <w:r>
        <w:rPr>
          <w:noProof/>
        </w:rPr>
        <w:pict>
          <v:rect id="_x0000_s1184" style="position:absolute;margin-left:49.95pt;margin-top:383.3pt;width:2in;height:54pt;z-index:251802624;v-text-anchor:middle" fillcolor="#eeece1 [3214]">
            <v:fill color2="fill darken(194)" focusposition=".5,.5" focussize="" method="linear sigma" focus="100%" type="gradientRadial"/>
            <v:textbox style="mso-next-textbox:#_x0000_s1184" inset="0,0,0,0">
              <w:txbxContent>
                <w:p w:rsidR="0003537C" w:rsidRDefault="0003537C" w:rsidP="003217CC">
                  <w:pPr>
                    <w:jc w:val="center"/>
                  </w:pPr>
                  <w:r>
                    <w:t>3.0 Document/Register Non-Conformity</w:t>
                  </w:r>
                </w:p>
                <w:p w:rsidR="0003537C" w:rsidRPr="008435BB" w:rsidRDefault="0003537C" w:rsidP="003217CC">
                  <w:pPr>
                    <w:jc w:val="center"/>
                  </w:pPr>
                  <w:r>
                    <w:t>(Quality Manager)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86" type="#_x0000_t32" style="position:absolute;margin-left:122.45pt;margin-top:352.75pt;width:.2pt;height:30.55pt;z-index:2518046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margin-left:422.1pt;margin-top:352.75pt;width:.2pt;height:111.55pt;z-index:251791360" o:connectortype="straight">
            <v:stroke endarrow="block"/>
          </v:shape>
        </w:pict>
      </w:r>
      <w:r>
        <w:rPr>
          <w:noProof/>
        </w:rPr>
        <w:pict>
          <v:oval id="_x0000_s1079" style="position:absolute;margin-left:395.4pt;margin-top:464.3pt;width:56.7pt;height:56.7pt;z-index:251728896;v-text-anchor:middle" fillcolor="#c2d69b [1942]">
            <v:fill color2="fill darken(168)" rotate="t" focusposition=".5,.5" focussize="" method="linear sigma" focus="100%" type="gradientRadial"/>
            <o:lock v:ext="edit" aspectratio="t"/>
            <v:textbox style="mso-next-textbox:#_x0000_s1079" inset="0,0,0,0">
              <w:txbxContent>
                <w:p w:rsidR="00E94FAE" w:rsidRPr="008435BB" w:rsidRDefault="00E94FAE" w:rsidP="009206F5">
                  <w:pPr>
                    <w:jc w:val="center"/>
                  </w:pPr>
                  <w:r w:rsidRPr="008435BB">
                    <w:t>End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00" type="#_x0000_t32" style="position:absolute;margin-left:193.95pt;margin-top:176.3pt;width:228.15pt;height:.05pt;flip:x;z-index:251815936" o:connectortype="straight">
            <v:stroke endarrow="block"/>
          </v:shape>
        </w:pict>
      </w:r>
      <w:r>
        <w:rPr>
          <w:noProof/>
        </w:rPr>
        <w:pict>
          <v:shape id="_x0000_s1199" type="#_x0000_t32" style="position:absolute;margin-left:422.1pt;margin-top:176.3pt;width:0;height:135pt;flip:y;z-index:251660287" o:connectortype="straight"/>
        </w:pict>
      </w:r>
      <w:r>
        <w:rPr>
          <w:noProof/>
        </w:rPr>
        <w:pict>
          <v:group id="_x0000_s1198" style="position:absolute;margin-left:412.8pt;margin-top:320.95pt;width:18pt;height:18pt;rotation:45;z-index:251813888" coordorigin="15501,11824" coordsize="360,360">
            <v:shape id="_x0000_s1195" type="#_x0000_t32" style="position:absolute;left:15501;top:11824;width:360;height:360" o:connectortype="straight"/>
            <v:shape id="_x0000_s1196" type="#_x0000_t32" style="position:absolute;left:15501;top:11824;width:360;height:360;flip:x" o:connectortype="straight"/>
          </v:group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4" type="#_x0000_t4" style="position:absolute;margin-left:398.1pt;margin-top:307.75pt;width:48pt;height:45pt;z-index:251810816;v-text-anchor:middle" fillcolor="#8db3e2 [1311]">
            <v:fill color2="fill darken(194)" rotate="t" focusposition=".5,.5" focussize="" method="linear sigma" focus="100%" type="gradientRadial"/>
            <v:textbox style="mso-next-textbox:#_x0000_s1194">
              <w:txbxContent>
                <w:p w:rsidR="00BC33DD" w:rsidRDefault="00BC33DD" w:rsidP="00BC33DD"/>
              </w:txbxContent>
            </v:textbox>
          </v:shape>
        </w:pict>
      </w:r>
      <w:r>
        <w:rPr>
          <w:noProof/>
        </w:rPr>
        <w:pict>
          <v:shape id="_x0000_s1197" type="#_x0000_t32" style="position:absolute;margin-left:362.1pt;margin-top:329.3pt;width:36pt;height:0;z-index:251809792" o:connectortype="straight">
            <v:stroke endarrow="block"/>
          </v:shape>
        </w:pict>
      </w:r>
      <w:r>
        <w:rPr>
          <w:noProof/>
        </w:rPr>
        <w:pict>
          <v:rect id="_x0000_s1192" style="position:absolute;margin-left:218.1pt;margin-top:302.3pt;width:2in;height:54pt;z-index:251807744;v-text-anchor:middle" fillcolor="#eeece1 [3214]">
            <v:fill color2="fill darken(194)" rotate="t" focusposition=".5,.5" focussize="" method="linear sigma" focus="100%" type="gradientRadial"/>
            <v:textbox style="mso-next-textbox:#_x0000_s1192" inset="0,0,0,0">
              <w:txbxContent>
                <w:p w:rsidR="0003537C" w:rsidRDefault="0003537C" w:rsidP="00731D3A">
                  <w:pPr>
                    <w:jc w:val="center"/>
                  </w:pPr>
                  <w:r>
                    <w:t xml:space="preserve">2.1 Close </w:t>
                  </w:r>
                  <w:r w:rsidR="00EA282E">
                    <w:t>O</w:t>
                  </w:r>
                  <w:r>
                    <w:t xml:space="preserve">bservation and </w:t>
                  </w:r>
                  <w:r w:rsidR="00EA282E">
                    <w:t>N</w:t>
                  </w:r>
                  <w:r>
                    <w:t>otify</w:t>
                  </w:r>
                </w:p>
                <w:p w:rsidR="0003537C" w:rsidRPr="006A31DD" w:rsidRDefault="0003537C" w:rsidP="00731D3A">
                  <w:pPr>
                    <w:jc w:val="center"/>
                  </w:pPr>
                  <w:r>
                    <w:t>(Quality Manager)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87" style="position:absolute;margin-left:97.95pt;margin-top:311.3pt;width:48pt;height:45pt;z-index:251805696" coordorigin="10407,17487" coordsize="960,900">
            <v:shape id="_x0000_s1188" type="#_x0000_t4" style="position:absolute;left:10407;top:17487;width:960;height:900;v-text-anchor:middle" fillcolor="#8db3e2 [1311]">
              <v:fill color2="fill darken(194)" rotate="t" focusposition=".5,.5" focussize="" method="linear sigma" focus="100%" type="gradientRadial"/>
              <v:textbox style="mso-next-textbox:#_x0000_s1188">
                <w:txbxContent>
                  <w:p w:rsidR="0003537C" w:rsidRDefault="0003537C" w:rsidP="00262918"/>
                </w:txbxContent>
              </v:textbox>
            </v:shape>
            <v:shape id="_x0000_s1189" type="#_x0000_t32" style="position:absolute;left:10701;top:17751;width:360;height:360" o:connectortype="straight"/>
            <v:shape id="_x0000_s1190" type="#_x0000_t32" style="position:absolute;left:10701;top:17751;width:360;height:360;flip:x" o:connectortype="straight"/>
          </v:group>
        </w:pict>
      </w:r>
      <w:r>
        <w:rPr>
          <w:noProof/>
        </w:rPr>
        <w:pict>
          <v:shape id="_x0000_s1185" type="#_x0000_t32" style="position:absolute;margin-left:121.6pt;margin-top:284.3pt;width:.2pt;height:27pt;flip:x;z-index:251803648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margin-left:122.25pt;margin-top:203.3pt;width:.2pt;height:27pt;z-index:251801600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margin-left:122.2pt;margin-top:122.3pt;width:.25pt;height:27pt;z-index:251800576" o:connectortype="straight">
            <v:stroke endarrow="block"/>
          </v:shape>
        </w:pict>
      </w:r>
      <w:r>
        <w:rPr>
          <w:noProof/>
        </w:rPr>
        <w:pict>
          <v:rect id="_x0000_s1181" style="position:absolute;margin-left:49.95pt;margin-top:230.3pt;width:2in;height:54pt;z-index:251799552;v-text-anchor:middle" fillcolor="#eeece1 [3214]">
            <v:fill color2="fill darken(194)" focusposition=".5,.5" focussize="" method="linear sigma" focus="100%" type="gradientRadial"/>
            <v:textbox style="mso-next-textbox:#_x0000_s1181" inset="0,0,0,0">
              <w:txbxContent>
                <w:p w:rsidR="0003537C" w:rsidRPr="00124191" w:rsidRDefault="0003537C" w:rsidP="003217CC">
                  <w:pPr>
                    <w:jc w:val="center"/>
                    <w:rPr>
                      <w:rFonts w:asciiTheme="minorHAnsi" w:hAnsiTheme="minorHAnsi"/>
                    </w:rPr>
                  </w:pPr>
                  <w:r w:rsidRPr="00124191">
                    <w:rPr>
                      <w:rFonts w:asciiTheme="minorHAnsi" w:hAnsiTheme="minorHAnsi"/>
                    </w:rPr>
                    <w:t xml:space="preserve">2.0 Evaluate suspected </w:t>
                  </w:r>
                </w:p>
                <w:p w:rsidR="0003537C" w:rsidRPr="00124191" w:rsidRDefault="00EA282E" w:rsidP="003217C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</w:t>
                  </w:r>
                  <w:r w:rsidR="0003537C" w:rsidRPr="00124191">
                    <w:rPr>
                      <w:rFonts w:asciiTheme="minorHAnsi" w:hAnsiTheme="minorHAnsi"/>
                    </w:rPr>
                    <w:t>on-</w:t>
                  </w:r>
                  <w:r>
                    <w:rPr>
                      <w:rFonts w:asciiTheme="minorHAnsi" w:hAnsiTheme="minorHAnsi"/>
                    </w:rPr>
                    <w:t>C</w:t>
                  </w:r>
                  <w:r w:rsidR="0003537C" w:rsidRPr="00124191">
                    <w:rPr>
                      <w:rFonts w:asciiTheme="minorHAnsi" w:hAnsiTheme="minorHAnsi"/>
                    </w:rPr>
                    <w:t>onformity</w:t>
                  </w:r>
                </w:p>
                <w:p w:rsidR="0003537C" w:rsidRPr="00124191" w:rsidRDefault="0003537C" w:rsidP="00124191">
                  <w:pPr>
                    <w:pStyle w:val="BodyText"/>
                    <w:ind w:left="0"/>
                    <w:jc w:val="center"/>
                    <w:rPr>
                      <w:rFonts w:asciiTheme="minorHAnsi" w:hAnsiTheme="minorHAnsi"/>
                    </w:rPr>
                  </w:pPr>
                  <w:r w:rsidRPr="00124191">
                    <w:rPr>
                      <w:rFonts w:asciiTheme="minorHAnsi" w:hAnsiTheme="minorHAnsi"/>
                    </w:rPr>
                    <w:t>(Quality Manager)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49.95pt;margin-top:149.3pt;width:2in;height:54pt;z-index:251798528;v-text-anchor:middle" fillcolor="#eeece1 [3214]">
            <v:fill color2="fill darken(194)" focusposition=".5,.5" focussize="" method="linear sigma" focus="100%" type="gradientRadial"/>
            <v:textbox style="mso-next-textbox:#_x0000_s1180" inset="0,0,0,0">
              <w:txbxContent>
                <w:p w:rsidR="0003537C" w:rsidRDefault="0003537C" w:rsidP="00120B94">
                  <w:pPr>
                    <w:jc w:val="center"/>
                  </w:pPr>
                  <w:r>
                    <w:t>1.0 Identify Non-Conformity</w:t>
                  </w:r>
                </w:p>
                <w:p w:rsidR="0003537C" w:rsidRPr="008435BB" w:rsidRDefault="0003537C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everyone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179" style="position:absolute;margin-left:93.8pt;margin-top:65.6pt;width:56.7pt;height:56.7pt;z-index:251797504;v-text-anchor:middle" fillcolor="#d99594 [1941]">
            <v:fill color2="fill lighten(137)" focusposition=".5,.5" focussize="" method="linear sigma" type="gradientRadial"/>
            <o:lock v:ext="edit" aspectratio="t"/>
            <v:textbox style="mso-next-textbox:#_x0000_s1179" inset="0,0,0,0">
              <w:txbxContent>
                <w:p w:rsidR="0003537C" w:rsidRPr="008435BB" w:rsidRDefault="0003537C" w:rsidP="00400CFB">
                  <w:pPr>
                    <w:jc w:val="center"/>
                  </w:pPr>
                  <w:r w:rsidRPr="008435BB">
                    <w:t>Start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5" type="#_x0000_t32" style="position:absolute;margin-left:218.1pt;margin-top:338.3pt;width:36pt;height:0;z-index:251793408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218.1pt;margin-top:338.3pt;width:36pt;height:0;z-index:251774976" o:connectortype="straight">
            <v:stroke endarrow="block"/>
          </v:shape>
        </w:pict>
      </w:r>
    </w:p>
    <w:sectPr w:rsidR="00B27588" w:rsidSect="001A6D5A">
      <w:headerReference w:type="even" r:id="rId9"/>
      <w:headerReference w:type="default" r:id="rId10"/>
      <w:footerReference w:type="default" r:id="rId11"/>
      <w:headerReference w:type="first" r:id="rId12"/>
      <w:pgSz w:w="16839" w:h="23814" w:code="8"/>
      <w:pgMar w:top="471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D9" w:rsidRDefault="002C7FD9" w:rsidP="0014553B">
      <w:r>
        <w:separator/>
      </w:r>
    </w:p>
  </w:endnote>
  <w:endnote w:type="continuationSeparator" w:id="0">
    <w:p w:rsidR="002C7FD9" w:rsidRDefault="002C7FD9" w:rsidP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7D0" w:rsidRPr="0002512D" w:rsidRDefault="00797031" w:rsidP="00797031">
        <w:pPr>
          <w:pStyle w:val="Footer"/>
        </w:pPr>
        <w:r w:rsidRPr="0002281F">
          <w:t>Author:</w:t>
        </w:r>
        <w:r w:rsidR="001A6D5A">
          <w:t xml:space="preserve"> </w:t>
        </w:r>
        <w:sdt>
          <w:sdtPr>
            <w:alias w:val="Author"/>
            <w:id w:val="32910509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Pr="0002281F">
              <w:t>Marc Arnecke, PMP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D9" w:rsidRDefault="002C7FD9" w:rsidP="0014553B">
      <w:r>
        <w:separator/>
      </w:r>
    </w:p>
  </w:footnote>
  <w:footnote w:type="continuationSeparator" w:id="0">
    <w:p w:rsidR="002C7FD9" w:rsidRDefault="002C7FD9" w:rsidP="001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2C7F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3" o:spid="_x0000_s2051" type="#_x0000_t136" style="position:absolute;margin-left:0;margin-top:0;width:790.8pt;height:316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4" w:rsidRPr="007A6E3E" w:rsidRDefault="002C7FD9" w:rsidP="00685024">
    <w:pPr>
      <w:pStyle w:val="Header"/>
      <w:tabs>
        <w:tab w:val="clear" w:pos="4680"/>
        <w:tab w:val="clear" w:pos="9360"/>
        <w:tab w:val="right" w:pos="15593"/>
      </w:tabs>
      <w:rPr>
        <w:rStyle w:val="SubtleEmphasis"/>
        <w:i w:val="0"/>
        <w:iCs w:val="0"/>
        <w:color w:val="auto"/>
        <w:sz w:val="16"/>
        <w:szCs w:val="16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3" type="#_x0000_t136" style="position:absolute;margin-left:0;margin-top:0;width:790.8pt;height:316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</w:rPr>
    </w:r>
    <w:r>
      <w:rPr>
        <w:sz w:val="20"/>
      </w:rPr>
      <w:pict>
        <v:rect id="_x0000_s2054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4">
            <w:txbxContent>
              <w:p w:rsidR="00685024" w:rsidRPr="00797031" w:rsidRDefault="00685024" w:rsidP="00685024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 w:rsidR="00685024">
      <w:tab/>
    </w:r>
    <w:sdt>
      <w:sdtPr>
        <w:rPr>
          <w:rStyle w:val="TitleChar"/>
          <w:i w:val="0"/>
        </w:rPr>
        <w:alias w:val="Title"/>
        <w:tag w:val=""/>
        <w:id w:val="1997684163"/>
        <w:placeholder>
          <w:docPart w:val="59B5D5B12D0145AC8131CE4DBEDD6B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685024">
          <w:rPr>
            <w:rStyle w:val="TitleChar"/>
            <w:i w:val="0"/>
          </w:rPr>
          <w:t>Non-Conformance</w:t>
        </w:r>
      </w:sdtContent>
    </w:sdt>
  </w:p>
  <w:p w:rsidR="00CA67D0" w:rsidRPr="00272AF2" w:rsidRDefault="00CA67D0" w:rsidP="0014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2C7F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2" o:spid="_x0000_s2050" type="#_x0000_t136" style="position:absolute;margin-left:0;margin-top:0;width:790.8pt;height:316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6730FC8A"/>
    <w:lvl w:ilvl="0" w:tplc="D94E1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4242"/>
    <w:multiLevelType w:val="hybridMultilevel"/>
    <w:tmpl w:val="219A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E68"/>
    <w:multiLevelType w:val="hybridMultilevel"/>
    <w:tmpl w:val="71F0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358"/>
    <w:multiLevelType w:val="hybridMultilevel"/>
    <w:tmpl w:val="AF947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715"/>
    <w:multiLevelType w:val="hybridMultilevel"/>
    <w:tmpl w:val="9B6E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941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08F3"/>
    <w:multiLevelType w:val="hybridMultilevel"/>
    <w:tmpl w:val="1D187650"/>
    <w:lvl w:ilvl="0" w:tplc="6A62C3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F7F7C"/>
    <w:multiLevelType w:val="hybridMultilevel"/>
    <w:tmpl w:val="21308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1783"/>
    <w:multiLevelType w:val="hybridMultilevel"/>
    <w:tmpl w:val="BBAC3C9E"/>
    <w:lvl w:ilvl="0" w:tplc="5D04BDE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5019E"/>
    <w:multiLevelType w:val="multilevel"/>
    <w:tmpl w:val="627CB3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AB76B08"/>
    <w:multiLevelType w:val="hybridMultilevel"/>
    <w:tmpl w:val="B1D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3E5"/>
    <w:multiLevelType w:val="hybridMultilevel"/>
    <w:tmpl w:val="7AACB440"/>
    <w:lvl w:ilvl="0" w:tplc="78C22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D8B"/>
    <w:multiLevelType w:val="hybridMultilevel"/>
    <w:tmpl w:val="06568856"/>
    <w:lvl w:ilvl="0" w:tplc="E44A81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178AB"/>
    <w:multiLevelType w:val="multilevel"/>
    <w:tmpl w:val="92FC731A"/>
    <w:lvl w:ilvl="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7" w:hanging="1440"/>
      </w:pPr>
      <w:rPr>
        <w:rFonts w:hint="default"/>
      </w:rPr>
    </w:lvl>
  </w:abstractNum>
  <w:abstractNum w:abstractNumId="44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25"/>
  </w:num>
  <w:num w:numId="8">
    <w:abstractNumId w:val="7"/>
  </w:num>
  <w:num w:numId="9">
    <w:abstractNumId w:val="38"/>
  </w:num>
  <w:num w:numId="10">
    <w:abstractNumId w:val="9"/>
  </w:num>
  <w:num w:numId="11">
    <w:abstractNumId w:val="41"/>
  </w:num>
  <w:num w:numId="12">
    <w:abstractNumId w:val="45"/>
  </w:num>
  <w:num w:numId="13">
    <w:abstractNumId w:val="11"/>
  </w:num>
  <w:num w:numId="14">
    <w:abstractNumId w:val="33"/>
  </w:num>
  <w:num w:numId="15">
    <w:abstractNumId w:val="35"/>
  </w:num>
  <w:num w:numId="16">
    <w:abstractNumId w:val="10"/>
  </w:num>
  <w:num w:numId="17">
    <w:abstractNumId w:val="37"/>
  </w:num>
  <w:num w:numId="18">
    <w:abstractNumId w:val="26"/>
  </w:num>
  <w:num w:numId="19">
    <w:abstractNumId w:val="19"/>
  </w:num>
  <w:num w:numId="20">
    <w:abstractNumId w:val="2"/>
  </w:num>
  <w:num w:numId="21">
    <w:abstractNumId w:val="36"/>
  </w:num>
  <w:num w:numId="22">
    <w:abstractNumId w:val="1"/>
  </w:num>
  <w:num w:numId="23">
    <w:abstractNumId w:val="20"/>
  </w:num>
  <w:num w:numId="24">
    <w:abstractNumId w:val="39"/>
  </w:num>
  <w:num w:numId="25">
    <w:abstractNumId w:val="16"/>
  </w:num>
  <w:num w:numId="26">
    <w:abstractNumId w:val="40"/>
  </w:num>
  <w:num w:numId="27">
    <w:abstractNumId w:val="29"/>
  </w:num>
  <w:num w:numId="28">
    <w:abstractNumId w:val="44"/>
  </w:num>
  <w:num w:numId="29">
    <w:abstractNumId w:val="42"/>
  </w:num>
  <w:num w:numId="30">
    <w:abstractNumId w:val="23"/>
  </w:num>
  <w:num w:numId="31">
    <w:abstractNumId w:val="15"/>
  </w:num>
  <w:num w:numId="32">
    <w:abstractNumId w:val="32"/>
  </w:num>
  <w:num w:numId="33">
    <w:abstractNumId w:val="0"/>
  </w:num>
  <w:num w:numId="34">
    <w:abstractNumId w:val="30"/>
  </w:num>
  <w:num w:numId="35">
    <w:abstractNumId w:val="34"/>
  </w:num>
  <w:num w:numId="36">
    <w:abstractNumId w:val="43"/>
  </w:num>
  <w:num w:numId="37">
    <w:abstractNumId w:val="13"/>
  </w:num>
  <w:num w:numId="38">
    <w:abstractNumId w:val="8"/>
  </w:num>
  <w:num w:numId="39">
    <w:abstractNumId w:val="24"/>
  </w:num>
  <w:num w:numId="40">
    <w:abstractNumId w:val="28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"/>
  </w:num>
  <w:num w:numId="4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5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4DB4"/>
    <w:rsid w:val="00007AC6"/>
    <w:rsid w:val="00010B61"/>
    <w:rsid w:val="0001487C"/>
    <w:rsid w:val="00016436"/>
    <w:rsid w:val="000205C5"/>
    <w:rsid w:val="0002281F"/>
    <w:rsid w:val="0002512D"/>
    <w:rsid w:val="00027E46"/>
    <w:rsid w:val="0003537C"/>
    <w:rsid w:val="000430EC"/>
    <w:rsid w:val="00045152"/>
    <w:rsid w:val="00047371"/>
    <w:rsid w:val="00071DBF"/>
    <w:rsid w:val="00073F36"/>
    <w:rsid w:val="00084FBE"/>
    <w:rsid w:val="000901A7"/>
    <w:rsid w:val="00092A25"/>
    <w:rsid w:val="000A75A6"/>
    <w:rsid w:val="000B4A65"/>
    <w:rsid w:val="000C34B4"/>
    <w:rsid w:val="000D3472"/>
    <w:rsid w:val="000E09F1"/>
    <w:rsid w:val="000E1B66"/>
    <w:rsid w:val="000E3BEF"/>
    <w:rsid w:val="000F2F7E"/>
    <w:rsid w:val="000F316A"/>
    <w:rsid w:val="000F5889"/>
    <w:rsid w:val="00104920"/>
    <w:rsid w:val="00105279"/>
    <w:rsid w:val="00120B94"/>
    <w:rsid w:val="0012292D"/>
    <w:rsid w:val="00124191"/>
    <w:rsid w:val="0012743A"/>
    <w:rsid w:val="0012786B"/>
    <w:rsid w:val="00131F9B"/>
    <w:rsid w:val="00140CEA"/>
    <w:rsid w:val="001454B2"/>
    <w:rsid w:val="0014553B"/>
    <w:rsid w:val="001457D6"/>
    <w:rsid w:val="001643A3"/>
    <w:rsid w:val="00165C1B"/>
    <w:rsid w:val="0017069C"/>
    <w:rsid w:val="00172906"/>
    <w:rsid w:val="001746CF"/>
    <w:rsid w:val="00174D51"/>
    <w:rsid w:val="001767F8"/>
    <w:rsid w:val="001822E4"/>
    <w:rsid w:val="00187EC1"/>
    <w:rsid w:val="001934C1"/>
    <w:rsid w:val="00193E2E"/>
    <w:rsid w:val="0019704E"/>
    <w:rsid w:val="001A40A1"/>
    <w:rsid w:val="001A6D5A"/>
    <w:rsid w:val="001B499A"/>
    <w:rsid w:val="001B5ADE"/>
    <w:rsid w:val="001C2C4B"/>
    <w:rsid w:val="001C44F5"/>
    <w:rsid w:val="001E7B7D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6C"/>
    <w:rsid w:val="002464ED"/>
    <w:rsid w:val="00247DA6"/>
    <w:rsid w:val="0026237F"/>
    <w:rsid w:val="00262918"/>
    <w:rsid w:val="002710FA"/>
    <w:rsid w:val="00272AF2"/>
    <w:rsid w:val="0027387F"/>
    <w:rsid w:val="00276A77"/>
    <w:rsid w:val="00282BEE"/>
    <w:rsid w:val="002835F2"/>
    <w:rsid w:val="002921ED"/>
    <w:rsid w:val="0029669A"/>
    <w:rsid w:val="00297B4E"/>
    <w:rsid w:val="002A30EB"/>
    <w:rsid w:val="002B2C81"/>
    <w:rsid w:val="002B748C"/>
    <w:rsid w:val="002C095E"/>
    <w:rsid w:val="002C5365"/>
    <w:rsid w:val="002C7FD9"/>
    <w:rsid w:val="002D2586"/>
    <w:rsid w:val="002E0C6C"/>
    <w:rsid w:val="002E2409"/>
    <w:rsid w:val="002E58A1"/>
    <w:rsid w:val="002F6FBB"/>
    <w:rsid w:val="003072C6"/>
    <w:rsid w:val="00317078"/>
    <w:rsid w:val="003217CC"/>
    <w:rsid w:val="0032204D"/>
    <w:rsid w:val="0035271F"/>
    <w:rsid w:val="00355643"/>
    <w:rsid w:val="00357826"/>
    <w:rsid w:val="0036275D"/>
    <w:rsid w:val="00366DDF"/>
    <w:rsid w:val="003757C3"/>
    <w:rsid w:val="00387ED1"/>
    <w:rsid w:val="003A1855"/>
    <w:rsid w:val="003B2625"/>
    <w:rsid w:val="003C3B9F"/>
    <w:rsid w:val="003C70D7"/>
    <w:rsid w:val="003F00F7"/>
    <w:rsid w:val="003F1140"/>
    <w:rsid w:val="00400CFB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A5A45"/>
    <w:rsid w:val="004A660F"/>
    <w:rsid w:val="004B1692"/>
    <w:rsid w:val="004C12B4"/>
    <w:rsid w:val="004C6CC4"/>
    <w:rsid w:val="004D37C4"/>
    <w:rsid w:val="004E39C5"/>
    <w:rsid w:val="004F2194"/>
    <w:rsid w:val="004F6779"/>
    <w:rsid w:val="00506B6E"/>
    <w:rsid w:val="00511ABE"/>
    <w:rsid w:val="00514AE1"/>
    <w:rsid w:val="005169AA"/>
    <w:rsid w:val="005216A8"/>
    <w:rsid w:val="00523E2C"/>
    <w:rsid w:val="00525DAB"/>
    <w:rsid w:val="00527CB0"/>
    <w:rsid w:val="0053187A"/>
    <w:rsid w:val="00546D25"/>
    <w:rsid w:val="005507F2"/>
    <w:rsid w:val="00550C21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3A21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3018F"/>
    <w:rsid w:val="00635B7A"/>
    <w:rsid w:val="00642800"/>
    <w:rsid w:val="00646417"/>
    <w:rsid w:val="006465EA"/>
    <w:rsid w:val="0065639C"/>
    <w:rsid w:val="00666970"/>
    <w:rsid w:val="00681953"/>
    <w:rsid w:val="00685024"/>
    <w:rsid w:val="006913A3"/>
    <w:rsid w:val="00692FF0"/>
    <w:rsid w:val="00695670"/>
    <w:rsid w:val="00696D16"/>
    <w:rsid w:val="006A0E06"/>
    <w:rsid w:val="006A31DD"/>
    <w:rsid w:val="006A3D93"/>
    <w:rsid w:val="006A622A"/>
    <w:rsid w:val="006B359A"/>
    <w:rsid w:val="006B3940"/>
    <w:rsid w:val="006D1BB7"/>
    <w:rsid w:val="006D3726"/>
    <w:rsid w:val="006D719E"/>
    <w:rsid w:val="006E1FFA"/>
    <w:rsid w:val="006E5201"/>
    <w:rsid w:val="006E59D8"/>
    <w:rsid w:val="006E7C97"/>
    <w:rsid w:val="006F13E9"/>
    <w:rsid w:val="007020B7"/>
    <w:rsid w:val="00705D82"/>
    <w:rsid w:val="007272B3"/>
    <w:rsid w:val="00731D3A"/>
    <w:rsid w:val="007367DC"/>
    <w:rsid w:val="00742F08"/>
    <w:rsid w:val="007446F0"/>
    <w:rsid w:val="00750453"/>
    <w:rsid w:val="00753CFE"/>
    <w:rsid w:val="00754050"/>
    <w:rsid w:val="0076384F"/>
    <w:rsid w:val="00775111"/>
    <w:rsid w:val="007768E4"/>
    <w:rsid w:val="00783B92"/>
    <w:rsid w:val="00795D6A"/>
    <w:rsid w:val="00797031"/>
    <w:rsid w:val="007A30C7"/>
    <w:rsid w:val="007A325A"/>
    <w:rsid w:val="007A4B23"/>
    <w:rsid w:val="007A6E3E"/>
    <w:rsid w:val="007B0EA0"/>
    <w:rsid w:val="007B3CE1"/>
    <w:rsid w:val="007B7CA0"/>
    <w:rsid w:val="007C27C9"/>
    <w:rsid w:val="007C3FF7"/>
    <w:rsid w:val="007D1C79"/>
    <w:rsid w:val="007D1DF3"/>
    <w:rsid w:val="007D3565"/>
    <w:rsid w:val="007D5281"/>
    <w:rsid w:val="007D53DF"/>
    <w:rsid w:val="007D55FE"/>
    <w:rsid w:val="007D5CC8"/>
    <w:rsid w:val="007E5892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2432"/>
    <w:rsid w:val="00833DAC"/>
    <w:rsid w:val="00836713"/>
    <w:rsid w:val="008412CD"/>
    <w:rsid w:val="00842669"/>
    <w:rsid w:val="008429EC"/>
    <w:rsid w:val="008435BB"/>
    <w:rsid w:val="0084443A"/>
    <w:rsid w:val="0086675C"/>
    <w:rsid w:val="008839E5"/>
    <w:rsid w:val="008840B0"/>
    <w:rsid w:val="00885B34"/>
    <w:rsid w:val="00891969"/>
    <w:rsid w:val="00891E33"/>
    <w:rsid w:val="00897526"/>
    <w:rsid w:val="008975D2"/>
    <w:rsid w:val="008A0C0D"/>
    <w:rsid w:val="008A42A6"/>
    <w:rsid w:val="008B5FEA"/>
    <w:rsid w:val="008D070C"/>
    <w:rsid w:val="008E32FF"/>
    <w:rsid w:val="008F5086"/>
    <w:rsid w:val="008F7BE4"/>
    <w:rsid w:val="00902C13"/>
    <w:rsid w:val="00904F42"/>
    <w:rsid w:val="009100D5"/>
    <w:rsid w:val="0091281C"/>
    <w:rsid w:val="00913743"/>
    <w:rsid w:val="009206F5"/>
    <w:rsid w:val="009246BC"/>
    <w:rsid w:val="00926A84"/>
    <w:rsid w:val="00935A2F"/>
    <w:rsid w:val="00936A10"/>
    <w:rsid w:val="00944160"/>
    <w:rsid w:val="0094495B"/>
    <w:rsid w:val="009458D4"/>
    <w:rsid w:val="00950597"/>
    <w:rsid w:val="009549F3"/>
    <w:rsid w:val="00961BDE"/>
    <w:rsid w:val="00964475"/>
    <w:rsid w:val="00977608"/>
    <w:rsid w:val="00984F3D"/>
    <w:rsid w:val="00985561"/>
    <w:rsid w:val="00986BE2"/>
    <w:rsid w:val="009A0C47"/>
    <w:rsid w:val="009A246A"/>
    <w:rsid w:val="009B0A09"/>
    <w:rsid w:val="009B2F76"/>
    <w:rsid w:val="009B530B"/>
    <w:rsid w:val="009D5C51"/>
    <w:rsid w:val="009E0E17"/>
    <w:rsid w:val="009E3655"/>
    <w:rsid w:val="009E6BAB"/>
    <w:rsid w:val="009F5CB1"/>
    <w:rsid w:val="00A02A24"/>
    <w:rsid w:val="00A03FB8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83EE2"/>
    <w:rsid w:val="00A90193"/>
    <w:rsid w:val="00A921C9"/>
    <w:rsid w:val="00A978D4"/>
    <w:rsid w:val="00A97E7B"/>
    <w:rsid w:val="00AB013B"/>
    <w:rsid w:val="00AB1BF7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2B61"/>
    <w:rsid w:val="00B24F04"/>
    <w:rsid w:val="00B2584F"/>
    <w:rsid w:val="00B27588"/>
    <w:rsid w:val="00B356E5"/>
    <w:rsid w:val="00B40DB9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33DD"/>
    <w:rsid w:val="00BC5576"/>
    <w:rsid w:val="00BC6516"/>
    <w:rsid w:val="00BD65F9"/>
    <w:rsid w:val="00BD68BD"/>
    <w:rsid w:val="00BE02EB"/>
    <w:rsid w:val="00BE3707"/>
    <w:rsid w:val="00BE4345"/>
    <w:rsid w:val="00BE7F60"/>
    <w:rsid w:val="00BF7979"/>
    <w:rsid w:val="00C00840"/>
    <w:rsid w:val="00C13F28"/>
    <w:rsid w:val="00C17A76"/>
    <w:rsid w:val="00C20023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2164"/>
    <w:rsid w:val="00C65591"/>
    <w:rsid w:val="00C7190D"/>
    <w:rsid w:val="00C72835"/>
    <w:rsid w:val="00C73C9A"/>
    <w:rsid w:val="00C81B62"/>
    <w:rsid w:val="00C905E4"/>
    <w:rsid w:val="00C90C37"/>
    <w:rsid w:val="00C9274C"/>
    <w:rsid w:val="00C93251"/>
    <w:rsid w:val="00CA220C"/>
    <w:rsid w:val="00CA33C3"/>
    <w:rsid w:val="00CA4CB7"/>
    <w:rsid w:val="00CA67D0"/>
    <w:rsid w:val="00CA7203"/>
    <w:rsid w:val="00CB4C23"/>
    <w:rsid w:val="00CB4E3A"/>
    <w:rsid w:val="00CC34C3"/>
    <w:rsid w:val="00CC3B28"/>
    <w:rsid w:val="00CD463A"/>
    <w:rsid w:val="00CD71B2"/>
    <w:rsid w:val="00CF3A70"/>
    <w:rsid w:val="00D04048"/>
    <w:rsid w:val="00D04557"/>
    <w:rsid w:val="00D06BEF"/>
    <w:rsid w:val="00D12E9A"/>
    <w:rsid w:val="00D1426E"/>
    <w:rsid w:val="00D14C65"/>
    <w:rsid w:val="00D17168"/>
    <w:rsid w:val="00D22423"/>
    <w:rsid w:val="00D31CA9"/>
    <w:rsid w:val="00D37DB6"/>
    <w:rsid w:val="00D466BB"/>
    <w:rsid w:val="00D51573"/>
    <w:rsid w:val="00D71AE0"/>
    <w:rsid w:val="00D72D5D"/>
    <w:rsid w:val="00D73166"/>
    <w:rsid w:val="00D841AA"/>
    <w:rsid w:val="00D86BAB"/>
    <w:rsid w:val="00D91CE3"/>
    <w:rsid w:val="00D97500"/>
    <w:rsid w:val="00DA21B6"/>
    <w:rsid w:val="00DA5607"/>
    <w:rsid w:val="00DB012E"/>
    <w:rsid w:val="00DB0CC6"/>
    <w:rsid w:val="00DB4CD7"/>
    <w:rsid w:val="00DC2439"/>
    <w:rsid w:val="00DC7147"/>
    <w:rsid w:val="00DD613E"/>
    <w:rsid w:val="00DE5C1A"/>
    <w:rsid w:val="00DF4EEC"/>
    <w:rsid w:val="00E10409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282E"/>
    <w:rsid w:val="00EA7AE7"/>
    <w:rsid w:val="00EC04C7"/>
    <w:rsid w:val="00EC6520"/>
    <w:rsid w:val="00ED356D"/>
    <w:rsid w:val="00ED434F"/>
    <w:rsid w:val="00ED5973"/>
    <w:rsid w:val="00ED6991"/>
    <w:rsid w:val="00EF0635"/>
    <w:rsid w:val="00EF62D4"/>
    <w:rsid w:val="00F00785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144E"/>
    <w:rsid w:val="00F31DCC"/>
    <w:rsid w:val="00F33BC4"/>
    <w:rsid w:val="00F37FC6"/>
    <w:rsid w:val="00F40970"/>
    <w:rsid w:val="00F40C56"/>
    <w:rsid w:val="00F43942"/>
    <w:rsid w:val="00F446B0"/>
    <w:rsid w:val="00F51162"/>
    <w:rsid w:val="00F54DE8"/>
    <w:rsid w:val="00F557DA"/>
    <w:rsid w:val="00F567AD"/>
    <w:rsid w:val="00F606B9"/>
    <w:rsid w:val="00F808A4"/>
    <w:rsid w:val="00F81A48"/>
    <w:rsid w:val="00F82C34"/>
    <w:rsid w:val="00F86F9A"/>
    <w:rsid w:val="00F9261D"/>
    <w:rsid w:val="00FA089D"/>
    <w:rsid w:val="00FA54F8"/>
    <w:rsid w:val="00FA5E85"/>
    <w:rsid w:val="00FB0362"/>
    <w:rsid w:val="00FB0A40"/>
    <w:rsid w:val="00FB4C38"/>
    <w:rsid w:val="00FC7C75"/>
    <w:rsid w:val="00FE051D"/>
    <w:rsid w:val="00FE6EE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4f81bd"/>
    </o:shapedefaults>
    <o:shapelayout v:ext="edit">
      <o:idmap v:ext="edit" data="1"/>
      <o:rules v:ext="edit">
        <o:r id="V:Rule1" type="connector" idref="#_x0000_s1150"/>
        <o:r id="V:Rule2" type="connector" idref="#_x0000_s1170"/>
        <o:r id="V:Rule3" type="connector" idref="#_x0000_s1147"/>
        <o:r id="V:Rule4" type="connector" idref="#_x0000_s1182"/>
        <o:r id="V:Rule5" type="connector" idref="#_x0000_s1199"/>
        <o:r id="V:Rule6" type="connector" idref="#_x0000_s1183"/>
        <o:r id="V:Rule7" type="connector" idref="#_x0000_s1175"/>
        <o:r id="V:Rule8" type="connector" idref="#_x0000_s1197"/>
        <o:r id="V:Rule9" type="connector" idref="#_x0000_s1195"/>
        <o:r id="V:Rule10" type="connector" idref="#_x0000_s1200"/>
        <o:r id="V:Rule11" type="connector" idref="#_x0000_s1196"/>
        <o:r id="V:Rule12" type="connector" idref="#_x0000_s1191"/>
        <o:r id="V:Rule13" type="connector" idref="#_x0000_s1185"/>
        <o:r id="V:Rule14" type="connector" idref="#_x0000_s1201"/>
        <o:r id="V:Rule15" type="connector" idref="#_x0000_s1186"/>
        <o:r id="V:Rule16" type="connector" idref="#_x0000_s1190"/>
        <o:r id="V:Rule17" type="connector" idref="#_x0000_s1178"/>
        <o:r id="V:Rule18" type="connector" idref="#_x0000_s1189"/>
      </o:rules>
    </o:shapelayout>
  </w:shapeDefaults>
  <w:decimalSymbol w:val="."/>
  <w:listSeparator w:val=","/>
  <w15:docId w15:val="{CF78B2B8-BC2D-43D7-B2A9-41CDFE0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E32FF"/>
    <w:pPr>
      <w:spacing w:after="6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hAnsiTheme="majorHAnsi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797031"/>
    <w:pPr>
      <w:spacing w:before="20"/>
      <w:ind w:left="720"/>
      <w:contextualSpacing/>
    </w:pPr>
    <w:rPr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A6D5A"/>
    <w:pPr>
      <w:spacing w:before="240" w:after="360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D5A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/>
      <w:ind w:left="576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5D5B12D0145AC8131CE4DBEDD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D1C1-A910-4633-B778-0958669C52FA}"/>
      </w:docPartPr>
      <w:docPartBody>
        <w:p w:rsidR="00841CC0" w:rsidRDefault="00013B37" w:rsidP="00013B37">
          <w:pPr>
            <w:pStyle w:val="59B5D5B12D0145AC8131CE4DBEDD6BDF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9"/>
    <w:rsid w:val="0001206E"/>
    <w:rsid w:val="00013B37"/>
    <w:rsid w:val="00071E1D"/>
    <w:rsid w:val="00085B37"/>
    <w:rsid w:val="00142E70"/>
    <w:rsid w:val="00162CE0"/>
    <w:rsid w:val="001B00A1"/>
    <w:rsid w:val="001C2C4F"/>
    <w:rsid w:val="001D1D57"/>
    <w:rsid w:val="00286CAE"/>
    <w:rsid w:val="0034012D"/>
    <w:rsid w:val="0038074B"/>
    <w:rsid w:val="003821CF"/>
    <w:rsid w:val="00390D54"/>
    <w:rsid w:val="003D14C4"/>
    <w:rsid w:val="00405B22"/>
    <w:rsid w:val="00540576"/>
    <w:rsid w:val="005B0A51"/>
    <w:rsid w:val="005E16E9"/>
    <w:rsid w:val="00644165"/>
    <w:rsid w:val="006A6CA9"/>
    <w:rsid w:val="006C4B81"/>
    <w:rsid w:val="0073601B"/>
    <w:rsid w:val="00785BDA"/>
    <w:rsid w:val="00837387"/>
    <w:rsid w:val="00841CC0"/>
    <w:rsid w:val="00A35F2C"/>
    <w:rsid w:val="00AD45B6"/>
    <w:rsid w:val="00BD3B6F"/>
    <w:rsid w:val="00C53344"/>
    <w:rsid w:val="00D10BA3"/>
    <w:rsid w:val="00D6679F"/>
    <w:rsid w:val="00EC47B9"/>
    <w:rsid w:val="00F3340F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B37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0FF76140463C407FA502D7F1D3F5E440">
    <w:name w:val="0FF76140463C407FA502D7F1D3F5E440"/>
    <w:rsid w:val="00540576"/>
  </w:style>
  <w:style w:type="paragraph" w:customStyle="1" w:styleId="B1960B1BF70A415B88055A8AA6082C45">
    <w:name w:val="B1960B1BF70A415B88055A8AA6082C45"/>
    <w:rsid w:val="006A6CA9"/>
    <w:pPr>
      <w:spacing w:after="200" w:line="276" w:lineRule="auto"/>
    </w:pPr>
  </w:style>
  <w:style w:type="paragraph" w:customStyle="1" w:styleId="59B5D5B12D0145AC8131CE4DBEDD6BDF">
    <w:name w:val="59B5D5B12D0145AC8131CE4DBEDD6BDF"/>
    <w:rsid w:val="0001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2015-01-25T00:00:00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14574-8263-4FD8-A80C-2A4B2E32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Non-Conformance</vt:lpstr>
    </vt:vector>
  </TitlesOfParts>
  <Company>Cobel Construction Services - Nigeria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Non-Conformance</dc:title>
  <dc:subject>x</dc:subject>
  <dc:creator>Marc Arnecke, PMP</dc:creator>
  <cp:keywords>x</cp:keywords>
  <cp:lastModifiedBy>Marc Arnecke, PMP</cp:lastModifiedBy>
  <cp:revision>2</cp:revision>
  <cp:lastPrinted>2015-01-25T18:15:00Z</cp:lastPrinted>
  <dcterms:created xsi:type="dcterms:W3CDTF">2015-01-25T18:21:00Z</dcterms:created>
  <dcterms:modified xsi:type="dcterms:W3CDTF">2015-01-25T18:21:00Z</dcterms:modified>
</cp:coreProperties>
</file>